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7742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2" w:cs="CIDFont+F2"/>
          <w:color w:val="44546A"/>
          <w:kern w:val="0"/>
          <w:sz w:val="39"/>
          <w:szCs w:val="39"/>
          <w:lang w:bidi="he-IL"/>
        </w:rPr>
      </w:pPr>
      <w:r>
        <w:rPr>
          <w:rFonts w:ascii="CIDFont+F2" w:cs="CIDFont+F2"/>
          <w:color w:val="44546A"/>
          <w:kern w:val="0"/>
          <w:sz w:val="39"/>
          <w:szCs w:val="39"/>
          <w:lang w:bidi="he-IL"/>
        </w:rPr>
        <w:t>Politiques et proc</w:t>
      </w:r>
      <w:r>
        <w:rPr>
          <w:rFonts w:ascii="CIDFont+F2" w:cs="CIDFont+F2" w:hint="cs"/>
          <w:color w:val="44546A"/>
          <w:kern w:val="0"/>
          <w:sz w:val="39"/>
          <w:szCs w:val="39"/>
          <w:lang w:bidi="he-IL"/>
        </w:rPr>
        <w:t>é</w:t>
      </w:r>
      <w:r>
        <w:rPr>
          <w:rFonts w:ascii="CIDFont+F2" w:cs="CIDFont+F2"/>
          <w:color w:val="44546A"/>
          <w:kern w:val="0"/>
          <w:sz w:val="39"/>
          <w:szCs w:val="39"/>
          <w:lang w:bidi="he-IL"/>
        </w:rPr>
        <w:t>dures en sant</w:t>
      </w:r>
      <w:r>
        <w:rPr>
          <w:rFonts w:ascii="CIDFont+F2" w:cs="CIDFont+F2" w:hint="cs"/>
          <w:color w:val="44546A"/>
          <w:kern w:val="0"/>
          <w:sz w:val="39"/>
          <w:szCs w:val="39"/>
          <w:lang w:bidi="he-IL"/>
        </w:rPr>
        <w:t>é</w:t>
      </w:r>
      <w:r>
        <w:rPr>
          <w:rFonts w:ascii="CIDFont+F2" w:cs="CIDFont+F2"/>
          <w:color w:val="44546A"/>
          <w:kern w:val="0"/>
          <w:sz w:val="39"/>
          <w:szCs w:val="39"/>
          <w:lang w:bidi="he-IL"/>
        </w:rPr>
        <w:t xml:space="preserve"> et s</w:t>
      </w:r>
      <w:r>
        <w:rPr>
          <w:rFonts w:ascii="CIDFont+F2" w:cs="CIDFont+F2" w:hint="cs"/>
          <w:color w:val="44546A"/>
          <w:kern w:val="0"/>
          <w:sz w:val="39"/>
          <w:szCs w:val="39"/>
          <w:lang w:bidi="he-IL"/>
        </w:rPr>
        <w:t>é</w:t>
      </w:r>
      <w:r>
        <w:rPr>
          <w:rFonts w:ascii="CIDFont+F2" w:cs="CIDFont+F2"/>
          <w:color w:val="44546A"/>
          <w:kern w:val="0"/>
          <w:sz w:val="39"/>
          <w:szCs w:val="39"/>
          <w:lang w:bidi="he-IL"/>
        </w:rPr>
        <w:t>curit</w:t>
      </w:r>
      <w:r>
        <w:rPr>
          <w:rFonts w:ascii="CIDFont+F2" w:cs="CIDFont+F2" w:hint="cs"/>
          <w:color w:val="44546A"/>
          <w:kern w:val="0"/>
          <w:sz w:val="39"/>
          <w:szCs w:val="39"/>
          <w:lang w:bidi="he-IL"/>
        </w:rPr>
        <w:t>é</w:t>
      </w:r>
      <w:r>
        <w:rPr>
          <w:rFonts w:ascii="CIDFont+F2" w:cs="CIDFont+F2"/>
          <w:color w:val="44546A"/>
          <w:kern w:val="0"/>
          <w:sz w:val="39"/>
          <w:szCs w:val="39"/>
          <w:lang w:bidi="he-IL"/>
        </w:rPr>
        <w:t xml:space="preserve"> du travail</w:t>
      </w:r>
    </w:p>
    <w:p w14:paraId="5A922938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1. Objectif de la proc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é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dure SST</w:t>
      </w:r>
    </w:p>
    <w:p w14:paraId="50F4776C" w14:textId="089B624A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L’objectif de cette procédure SST est d’établir un mode de fonctionnement au sein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de TELCOTEC permettant de consigner toutes les blessures dans un registre et de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se conformer aux exigences en matière de premiers soins. De plus, il s’agit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d’instaurer une méthode d’enquête et d'analyse d’accident, de suivi et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d’information.</w:t>
      </w:r>
    </w:p>
    <w:p w14:paraId="4D964B57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2. Port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é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e</w:t>
      </w:r>
    </w:p>
    <w:p w14:paraId="22ED2630" w14:textId="0F7E56B9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Cette procédure concerne tous les employés de TELCOTEC (Ingénieurs,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techniciens) ainsi que les étudiants stagiaires peu importe le poste qu’ils occupent.</w:t>
      </w:r>
    </w:p>
    <w:p w14:paraId="7EDECBA3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3. Nomenclature</w:t>
      </w:r>
    </w:p>
    <w:p w14:paraId="7B8AED14" w14:textId="67984EFF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6" w:eastAsia="CIDFont+F6" w:cs="CIDFont+F6" w:hint="eastAsia"/>
          <w:color w:val="000000"/>
          <w:kern w:val="0"/>
          <w:sz w:val="27"/>
          <w:szCs w:val="27"/>
          <w:lang w:bidi="he-IL"/>
        </w:rPr>
        <w:t></w:t>
      </w:r>
      <w:r>
        <w:rPr>
          <w:rFonts w:ascii="CIDFont+F6" w:eastAsia="CIDFont+F6" w:cs="CIDFont+F6"/>
          <w:color w:val="000000"/>
          <w:kern w:val="0"/>
          <w:sz w:val="27"/>
          <w:szCs w:val="27"/>
          <w:lang w:bidi="he-IL"/>
        </w:rPr>
        <w:t xml:space="preserve">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Accident :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Un événement imprévu et soudain attribuable à toute cause,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survenant à une personne par le fait ou à l'occasion de son travail et qui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entraîne pour elle une lésion professionnelle.</w:t>
      </w:r>
    </w:p>
    <w:p w14:paraId="35C9AED7" w14:textId="591EC54D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6" w:eastAsia="CIDFont+F6" w:cs="CIDFont+F6" w:hint="eastAsia"/>
          <w:color w:val="000000"/>
          <w:kern w:val="0"/>
          <w:sz w:val="27"/>
          <w:szCs w:val="27"/>
          <w:lang w:bidi="he-IL"/>
        </w:rPr>
        <w:t></w:t>
      </w:r>
      <w:r>
        <w:rPr>
          <w:rFonts w:ascii="CIDFont+F6" w:eastAsia="CIDFont+F6" w:cs="CIDFont+F6"/>
          <w:color w:val="000000"/>
          <w:kern w:val="0"/>
          <w:sz w:val="27"/>
          <w:szCs w:val="27"/>
          <w:lang w:bidi="he-IL"/>
        </w:rPr>
        <w:t xml:space="preserve">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Incident :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Événement imprévu et soudain qui aurait pu causer blessure ou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dommage.</w:t>
      </w:r>
    </w:p>
    <w:p w14:paraId="13754314" w14:textId="0380187D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6" w:eastAsia="CIDFont+F6" w:cs="CIDFont+F6" w:hint="eastAsia"/>
          <w:color w:val="000000"/>
          <w:kern w:val="0"/>
          <w:sz w:val="27"/>
          <w:szCs w:val="27"/>
          <w:lang w:bidi="he-IL"/>
        </w:rPr>
        <w:t></w:t>
      </w:r>
      <w:r>
        <w:rPr>
          <w:rFonts w:ascii="CIDFont+F6" w:eastAsia="CIDFont+F6" w:cs="CIDFont+F6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Mesures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correctives :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Mesures concrètes assurant l’élimination des dangers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ou l’amélioration permanente de la situation (méthode de travail,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organisation du travail, etc.).</w:t>
      </w:r>
    </w:p>
    <w:p w14:paraId="69EFF83D" w14:textId="17003B80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6" w:eastAsia="CIDFont+F6" w:cs="CIDFont+F6" w:hint="eastAsia"/>
          <w:color w:val="000000"/>
          <w:kern w:val="0"/>
          <w:sz w:val="27"/>
          <w:szCs w:val="27"/>
          <w:lang w:bidi="he-IL"/>
        </w:rPr>
        <w:t></w:t>
      </w:r>
      <w:r>
        <w:rPr>
          <w:rFonts w:ascii="CIDFont+F6" w:eastAsia="CIDFont+F6" w:cs="CIDFont+F6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Moyens de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contrôle :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Moyens empêchant le retour d’un danger et permettant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le maintien des mesures correctives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</w:p>
    <w:p w14:paraId="642145A3" w14:textId="7A56AB21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4. Obligations</w:t>
      </w:r>
    </w:p>
    <w:p w14:paraId="44C3A451" w14:textId="7B1A94AD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Déclaration : </w:t>
      </w:r>
      <w:r>
        <w:rPr>
          <w:rFonts w:ascii="CIDFont+F8" w:hAnsi="CIDFont+F8" w:cs="CIDFont+F8"/>
          <w:color w:val="000000"/>
          <w:kern w:val="0"/>
          <w:sz w:val="27"/>
          <w:szCs w:val="27"/>
          <w:lang w:bidi="he-IL"/>
        </w:rPr>
        <w:t>Tout employé victime d’un accident/incident au travail doit en</w:t>
      </w:r>
      <w:r>
        <w:rPr>
          <w:rFonts w:ascii="CIDFont+F8" w:hAnsi="CIDFont+F8" w:cs="CIDFont+F8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8" w:hAnsi="CIDFont+F8" w:cs="CIDFont+F8"/>
          <w:color w:val="000000"/>
          <w:kern w:val="0"/>
          <w:sz w:val="27"/>
          <w:szCs w:val="27"/>
          <w:lang w:bidi="he-IL"/>
        </w:rPr>
        <w:t>aviser immédiatement, ou dans les plus brefs délais, son supérieur</w:t>
      </w:r>
      <w:r>
        <w:rPr>
          <w:rFonts w:ascii="CIDFont+F8" w:hAnsi="CIDFont+F8" w:cs="CIDFont+F8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8" w:hAnsi="CIDFont+F8" w:cs="CIDFont+F8"/>
          <w:color w:val="000000"/>
          <w:kern w:val="0"/>
          <w:sz w:val="27"/>
          <w:szCs w:val="27"/>
          <w:lang w:bidi="he-IL"/>
        </w:rPr>
        <w:t xml:space="preserve">hiérarchique et ce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par le moyen de communication le plus rapide et, dans les 24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heures, lui faire un rapport écrit selon la forme et avec les renseignements exigés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par règlement, de tout événement (accidents, blessures, décès, dommages matériels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etc…)</w:t>
      </w:r>
    </w:p>
    <w:p w14:paraId="2083A20D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 xml:space="preserve">5. Premiers soins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:</w:t>
      </w:r>
    </w:p>
    <w:p w14:paraId="74EC9267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Tout employé victime d’un accident requiert des premiers soins.</w:t>
      </w:r>
    </w:p>
    <w:p w14:paraId="100E5F6D" w14:textId="647E2EF0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Chaque voiture est munie d’une boite pharmacie. De même il existe une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boite au sein du siège social de TELCOTEC.</w:t>
      </w:r>
    </w:p>
    <w:p w14:paraId="39ADD5D0" w14:textId="2588B3FA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Lors des déplacements, chaque conducteur établie un arrêt d’une heure après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3 heures de route. Pour les accidents, un contrat assurance groupe est signé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avec « GAT Assurance ». Il a été nommé Mr Ala Ahmed, ingénieur au sein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de TELCOTEC chargé des activités de secourisme le suivi des dossiers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d’assurance maladie.</w:t>
      </w:r>
    </w:p>
    <w:p w14:paraId="09DAFA08" w14:textId="7549654F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La société TELCOTEC dispose d’un GPS alimenté dans les voitures de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services.</w:t>
      </w:r>
    </w:p>
    <w:p w14:paraId="30B6AB0C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5. Registre d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’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accidents :</w:t>
      </w:r>
    </w:p>
    <w:p w14:paraId="49940B48" w14:textId="07BE5F49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L’entreprise TELCOTEC dispose d’un registre de tous les accidents/incidents qui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surviennent au travail</w:t>
      </w:r>
    </w:p>
    <w:p w14:paraId="4F81A17F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6. Rapport d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’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enqu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ê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te</w:t>
      </w:r>
    </w:p>
    <w:p w14:paraId="71B48446" w14:textId="1336E02C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Tous les accidents occasionnant blessures avec perte de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temps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ou dommages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matériels font l’objet d’une enquête.</w:t>
      </w:r>
    </w:p>
    <w:p w14:paraId="0C67E4F4" w14:textId="5FEE43F5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kern w:val="0"/>
          <w:sz w:val="21"/>
          <w:szCs w:val="21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Un rapport d’enquête est établi en vue de présenter les résultats de toute la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démarche d’enquête et d’analyse de l’accident.</w:t>
      </w:r>
    </w:p>
    <w:p w14:paraId="5A2B7A9A" w14:textId="329C7AC8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Tous les documents pertinents, photos et croquis fournissant des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informations</w:t>
      </w:r>
      <w:proofErr w:type="gramEnd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supplémentaires ou des preuves peuvent être joints au rapport.</w:t>
      </w:r>
    </w:p>
    <w:p w14:paraId="510B4E9F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1" w:cs="CIDFont+F1"/>
          <w:color w:val="000000"/>
          <w:kern w:val="0"/>
          <w:sz w:val="21"/>
          <w:szCs w:val="21"/>
          <w:lang w:bidi="he-IL"/>
        </w:rPr>
      </w:pPr>
      <w:r>
        <w:rPr>
          <w:rFonts w:ascii="CIDFont+F8" w:hAnsi="CIDFont+F8" w:cs="CIDFont+F8"/>
          <w:color w:val="2E74B6"/>
          <w:kern w:val="0"/>
          <w:sz w:val="27"/>
          <w:szCs w:val="27"/>
          <w:lang w:bidi="he-IL"/>
        </w:rPr>
        <w:t xml:space="preserve">7. 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 xml:space="preserve">Identification des risques </w:t>
      </w:r>
      <w:r>
        <w:rPr>
          <w:rFonts w:ascii="CIDFont+F1" w:cs="CIDFont+F1"/>
          <w:color w:val="000000"/>
          <w:kern w:val="0"/>
          <w:sz w:val="21"/>
          <w:szCs w:val="21"/>
          <w:lang w:bidi="he-IL"/>
        </w:rPr>
        <w:t>:</w:t>
      </w:r>
    </w:p>
    <w:p w14:paraId="39D3FA16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Afin de garantir la santé et la sécurité des employés, les dangers potentiels</w:t>
      </w:r>
    </w:p>
    <w:p w14:paraId="142DED0B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sont identifiés</w:t>
      </w:r>
    </w:p>
    <w:p w14:paraId="2733D3DC" w14:textId="068C166B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Chaque risque est identifié pour déterminer les mesures de prévention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appropriées.</w:t>
      </w:r>
    </w:p>
    <w:p w14:paraId="1C2B2EAC" w14:textId="2980900B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En cas de nécessité, une formation des employés sur les risques spécifiques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associés à leur travail, ainsi que sur les mesures de prévention et les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procédures est planifiée</w:t>
      </w:r>
    </w:p>
    <w:p w14:paraId="3FAA35CE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 xml:space="preserve">8. Surveillance et </w:t>
      </w:r>
      <w:r>
        <w:rPr>
          <w:rFonts w:ascii="CIDFont+F3" w:cs="CIDFont+F3" w:hint="cs"/>
          <w:color w:val="2E74B6"/>
          <w:kern w:val="0"/>
          <w:sz w:val="31"/>
          <w:szCs w:val="31"/>
          <w:lang w:bidi="he-IL"/>
        </w:rPr>
        <w:t>é</w:t>
      </w: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valuation continue</w:t>
      </w:r>
    </w:p>
    <w:p w14:paraId="1AFACB4C" w14:textId="53B83F73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Les pratiques de travail, les conditions de travail et les incidents sont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surveillés de façon périodique afin de s'assurer que les mesures de prévention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restent efficaces et identifier les domaines nécessitant des améliorations.</w:t>
      </w:r>
    </w:p>
    <w:p w14:paraId="55C5D057" w14:textId="2EA77F38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Des inspections sont effectuées sur terrain pour évaluer le respect des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exigences en matière de </w:t>
      </w:r>
      <w:proofErr w:type="gramStart"/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SST</w:t>
      </w:r>
      <w:proofErr w:type="gramEnd"/>
    </w:p>
    <w:p w14:paraId="20D67386" w14:textId="77777777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3" w:cs="CIDFont+F3"/>
          <w:color w:val="2E74B6"/>
          <w:kern w:val="0"/>
          <w:sz w:val="31"/>
          <w:szCs w:val="31"/>
          <w:lang w:bidi="he-IL"/>
        </w:rPr>
      </w:pPr>
      <w:r>
        <w:rPr>
          <w:rFonts w:ascii="CIDFont+F3" w:cs="CIDFont+F3"/>
          <w:color w:val="2E74B6"/>
          <w:kern w:val="0"/>
          <w:sz w:val="31"/>
          <w:szCs w:val="31"/>
          <w:lang w:bidi="he-IL"/>
        </w:rPr>
        <w:t>9. Communication</w:t>
      </w:r>
    </w:p>
    <w:p w14:paraId="3BC4C546" w14:textId="7677BD3A" w:rsidR="00552CFA" w:rsidRDefault="00552CFA" w:rsidP="00552CFA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</w:pPr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Cette présente procédure est communiquée de façon claire et transparente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avec tous les employés.</w:t>
      </w:r>
    </w:p>
    <w:p w14:paraId="5461DF86" w14:textId="06D0DD09" w:rsidR="00513352" w:rsidRPr="00552CFA" w:rsidRDefault="00552CFA" w:rsidP="00552CFA">
      <w:r>
        <w:rPr>
          <w:rFonts w:ascii="CIDFont+F9" w:eastAsia="CIDFont+F9" w:cs="CIDFont+F9" w:hint="eastAsia"/>
          <w:color w:val="000000"/>
          <w:kern w:val="0"/>
          <w:sz w:val="27"/>
          <w:szCs w:val="27"/>
          <w:lang w:bidi="he-IL"/>
        </w:rPr>
        <w:t></w:t>
      </w:r>
      <w:r>
        <w:rPr>
          <w:rFonts w:ascii="CIDFont+F9" w:eastAsia="CIDFont+F9" w:cs="CIDFont+F9"/>
          <w:color w:val="000000"/>
          <w:kern w:val="0"/>
          <w:sz w:val="27"/>
          <w:szCs w:val="27"/>
          <w:lang w:bidi="he-IL"/>
        </w:rPr>
        <w:t xml:space="preserve"> </w:t>
      </w:r>
      <w:r>
        <w:rPr>
          <w:rFonts w:ascii="CIDFont+F5" w:hAnsi="CIDFont+F5" w:cs="CIDFont+F5"/>
          <w:color w:val="000000"/>
          <w:kern w:val="0"/>
          <w:sz w:val="27"/>
          <w:szCs w:val="27"/>
          <w:lang w:bidi="he-IL"/>
        </w:rPr>
        <w:t>Les employés sont encouragés à participer aux réunions de sécurité</w:t>
      </w:r>
    </w:p>
    <w:sectPr w:rsidR="00513352" w:rsidRPr="0055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IDFont+F3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683D"/>
    <w:multiLevelType w:val="hybridMultilevel"/>
    <w:tmpl w:val="74D45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9675C"/>
    <w:multiLevelType w:val="hybridMultilevel"/>
    <w:tmpl w:val="1F0EA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1017">
    <w:abstractNumId w:val="0"/>
  </w:num>
  <w:num w:numId="2" w16cid:durableId="7990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FA"/>
    <w:rsid w:val="00001FB6"/>
    <w:rsid w:val="00513352"/>
    <w:rsid w:val="005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37C67"/>
  <w15:chartTrackingRefBased/>
  <w15:docId w15:val="{61623CC3-784B-4E11-B4AC-02114DCF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19462</dc:creator>
  <cp:keywords/>
  <dc:description/>
  <cp:lastModifiedBy/>
  <cp:revision>1</cp:revision>
  <dcterms:created xsi:type="dcterms:W3CDTF">2024-02-15T08:00:00Z</dcterms:created>
</cp:coreProperties>
</file>