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2C38" w14:textId="77777777" w:rsidR="005C612B" w:rsidRDefault="00000000">
      <w:pPr>
        <w:pStyle w:val="Titre"/>
        <w:jc w:val="center"/>
      </w:pPr>
      <w:r>
        <w:t>PROCÉDURE DOCUMENTÉE</w:t>
      </w:r>
    </w:p>
    <w:tbl>
      <w:tblPr>
        <w:tblStyle w:val="Grilledutableau"/>
        <w:tblW w:w="0" w:type="auto"/>
        <w:tblLook w:val="04A0" w:firstRow="1" w:lastRow="0" w:firstColumn="1" w:lastColumn="0" w:noHBand="0" w:noVBand="1"/>
      </w:tblPr>
      <w:tblGrid>
        <w:gridCol w:w="4320"/>
        <w:gridCol w:w="4320"/>
      </w:tblGrid>
      <w:tr w:rsidR="005C612B" w14:paraId="59C411BC" w14:textId="77777777">
        <w:tc>
          <w:tcPr>
            <w:tcW w:w="4320" w:type="dxa"/>
          </w:tcPr>
          <w:p w14:paraId="7A072A72" w14:textId="77777777" w:rsidR="005C612B" w:rsidRDefault="00000000">
            <w:r>
              <w:t>Réf. Doc :</w:t>
            </w:r>
          </w:p>
        </w:tc>
        <w:tc>
          <w:tcPr>
            <w:tcW w:w="4320" w:type="dxa"/>
          </w:tcPr>
          <w:p w14:paraId="7FF449E7" w14:textId="77777777" w:rsidR="005C612B" w:rsidRDefault="00000000">
            <w:r>
              <w:t>SSO-PROC-001</w:t>
            </w:r>
          </w:p>
        </w:tc>
      </w:tr>
      <w:tr w:rsidR="005C612B" w14:paraId="2A1CDE0E" w14:textId="77777777">
        <w:tc>
          <w:tcPr>
            <w:tcW w:w="4320" w:type="dxa"/>
          </w:tcPr>
          <w:p w14:paraId="51E94C03" w14:textId="77777777" w:rsidR="005C612B" w:rsidRDefault="00000000">
            <w:r>
              <w:t>Version :</w:t>
            </w:r>
          </w:p>
        </w:tc>
        <w:tc>
          <w:tcPr>
            <w:tcW w:w="4320" w:type="dxa"/>
          </w:tcPr>
          <w:p w14:paraId="7E15EC72" w14:textId="77777777" w:rsidR="005C612B" w:rsidRDefault="00000000">
            <w:r>
              <w:t>1.0</w:t>
            </w:r>
          </w:p>
        </w:tc>
      </w:tr>
      <w:tr w:rsidR="005C612B" w14:paraId="6B7D2F3C" w14:textId="77777777">
        <w:tc>
          <w:tcPr>
            <w:tcW w:w="4320" w:type="dxa"/>
          </w:tcPr>
          <w:p w14:paraId="307F96AE" w14:textId="77777777" w:rsidR="005C612B" w:rsidRDefault="00000000">
            <w:r>
              <w:t>Date :</w:t>
            </w:r>
          </w:p>
        </w:tc>
        <w:tc>
          <w:tcPr>
            <w:tcW w:w="4320" w:type="dxa"/>
          </w:tcPr>
          <w:p w14:paraId="29C451A7" w14:textId="77777777" w:rsidR="005C612B" w:rsidRDefault="00000000">
            <w:r>
              <w:t>[JJ/MM/AAAA]</w:t>
            </w:r>
          </w:p>
        </w:tc>
      </w:tr>
      <w:tr w:rsidR="005C612B" w14:paraId="19EA7CF7" w14:textId="77777777">
        <w:tc>
          <w:tcPr>
            <w:tcW w:w="4320" w:type="dxa"/>
          </w:tcPr>
          <w:p w14:paraId="3C89FA26" w14:textId="77777777" w:rsidR="005C612B" w:rsidRDefault="00000000">
            <w:r>
              <w:t>Établi par :</w:t>
            </w:r>
          </w:p>
        </w:tc>
        <w:tc>
          <w:tcPr>
            <w:tcW w:w="4320" w:type="dxa"/>
          </w:tcPr>
          <w:p w14:paraId="144E4645" w14:textId="77777777" w:rsidR="005C612B" w:rsidRDefault="00000000">
            <w:r>
              <w:t>Responsable QHSE</w:t>
            </w:r>
          </w:p>
        </w:tc>
      </w:tr>
    </w:tbl>
    <w:p w14:paraId="53C8D689" w14:textId="77777777" w:rsidR="005C612B" w:rsidRDefault="005C612B"/>
    <w:p w14:paraId="5ADB388F" w14:textId="77777777" w:rsidR="005C612B" w:rsidRPr="00542099" w:rsidRDefault="00000000">
      <w:pPr>
        <w:pStyle w:val="Titre1"/>
        <w:rPr>
          <w:lang w:val="fr-FR"/>
        </w:rPr>
      </w:pPr>
      <w:r w:rsidRPr="00542099">
        <w:rPr>
          <w:lang w:val="fr-FR"/>
        </w:rPr>
        <w:t>Procédure d’Identification et d’Évaluation de la Conformité Légale SSO</w:t>
      </w:r>
    </w:p>
    <w:p w14:paraId="2715AA48" w14:textId="77777777" w:rsidR="005C612B" w:rsidRPr="00542099" w:rsidRDefault="00000000">
      <w:pPr>
        <w:pStyle w:val="Titre2"/>
        <w:rPr>
          <w:lang w:val="fr-FR"/>
        </w:rPr>
      </w:pPr>
      <w:r w:rsidRPr="00542099">
        <w:rPr>
          <w:lang w:val="fr-FR"/>
        </w:rPr>
        <w:t>1. Objectif</w:t>
      </w:r>
    </w:p>
    <w:p w14:paraId="053247F4" w14:textId="77777777" w:rsidR="005C612B" w:rsidRPr="00542099" w:rsidRDefault="00000000">
      <w:pPr>
        <w:rPr>
          <w:lang w:val="fr-FR"/>
        </w:rPr>
      </w:pPr>
      <w:r w:rsidRPr="00542099">
        <w:rPr>
          <w:lang w:val="fr-FR"/>
        </w:rPr>
        <w:t>Assurer que TELCOTEC identifie, évalue, et maintienne la conformité avec toutes les lois, réglementations et licences applicables en matière de Santé, Sécurité au Travail (SSO), tant locales qu’internationales, afin de réduire les risques légaux et opérationnels.</w:t>
      </w:r>
    </w:p>
    <w:p w14:paraId="74FF0D2A" w14:textId="77777777" w:rsidR="005C612B" w:rsidRPr="00542099" w:rsidRDefault="00000000">
      <w:pPr>
        <w:pStyle w:val="Titre2"/>
        <w:rPr>
          <w:lang w:val="fr-FR"/>
        </w:rPr>
      </w:pPr>
      <w:r w:rsidRPr="00542099">
        <w:rPr>
          <w:lang w:val="fr-FR"/>
        </w:rPr>
        <w:t>2. Champ d’application</w:t>
      </w:r>
    </w:p>
    <w:p w14:paraId="77A906EE" w14:textId="7E194B40" w:rsidR="005C612B" w:rsidRPr="00542099" w:rsidRDefault="00000000">
      <w:pPr>
        <w:rPr>
          <w:lang w:val="fr-FR"/>
        </w:rPr>
      </w:pPr>
      <w:r w:rsidRPr="00542099">
        <w:rPr>
          <w:lang w:val="fr-FR"/>
        </w:rPr>
        <w:t>Cette procédure s’applique à toutes les activités, projets et sites de TELCOTEC, incluant les sous-traitants et partenaires intervenant dans l’exécution de contrats clients.</w:t>
      </w:r>
    </w:p>
    <w:p w14:paraId="2A7BD046" w14:textId="77777777" w:rsidR="005C612B" w:rsidRPr="00542099" w:rsidRDefault="00000000">
      <w:pPr>
        <w:pStyle w:val="Titre2"/>
        <w:rPr>
          <w:lang w:val="fr-FR"/>
        </w:rPr>
      </w:pPr>
      <w:r w:rsidRPr="00542099">
        <w:rPr>
          <w:lang w:val="fr-FR"/>
        </w:rPr>
        <w:t>3. Références</w:t>
      </w:r>
    </w:p>
    <w:p w14:paraId="6AF1D1FD" w14:textId="77777777" w:rsidR="005C612B" w:rsidRPr="00542099" w:rsidRDefault="00000000">
      <w:pPr>
        <w:rPr>
          <w:lang w:val="fr-FR"/>
        </w:rPr>
      </w:pPr>
      <w:r w:rsidRPr="00542099">
        <w:rPr>
          <w:lang w:val="fr-FR"/>
        </w:rPr>
        <w:t>- Code du Travail Tunisien.</w:t>
      </w:r>
      <w:r w:rsidRPr="00542099">
        <w:rPr>
          <w:lang w:val="fr-FR"/>
        </w:rPr>
        <w:br/>
        <w:t>- Lois et décrets relatifs à la Santé et Sécurité au Travail en Tunisie.</w:t>
      </w:r>
      <w:r w:rsidRPr="00542099">
        <w:rPr>
          <w:lang w:val="fr-FR"/>
        </w:rPr>
        <w:br/>
        <w:t xml:space="preserve">- Normes internationales applicables (ISO </w:t>
      </w:r>
      <w:proofErr w:type="gramStart"/>
      <w:r w:rsidRPr="00542099">
        <w:rPr>
          <w:lang w:val="fr-FR"/>
        </w:rPr>
        <w:t>45001:</w:t>
      </w:r>
      <w:proofErr w:type="gramEnd"/>
      <w:r w:rsidRPr="00542099">
        <w:rPr>
          <w:lang w:val="fr-FR"/>
        </w:rPr>
        <w:t>2018, directives OIT).</w:t>
      </w:r>
      <w:r w:rsidRPr="00542099">
        <w:rPr>
          <w:lang w:val="fr-FR"/>
        </w:rPr>
        <w:br/>
        <w:t>- Exigences contractuelles spécifiques d’Ericsson.</w:t>
      </w:r>
    </w:p>
    <w:p w14:paraId="5A11B877" w14:textId="77777777" w:rsidR="005C612B" w:rsidRPr="00542099" w:rsidRDefault="00000000">
      <w:pPr>
        <w:pStyle w:val="Titre2"/>
        <w:rPr>
          <w:lang w:val="fr-FR"/>
        </w:rPr>
      </w:pPr>
      <w:r w:rsidRPr="00542099">
        <w:rPr>
          <w:lang w:val="fr-FR"/>
        </w:rPr>
        <w:t>4. Responsabilités</w:t>
      </w:r>
    </w:p>
    <w:p w14:paraId="74DE9A40" w14:textId="77777777" w:rsidR="005C612B" w:rsidRPr="00542099" w:rsidRDefault="00000000">
      <w:pPr>
        <w:rPr>
          <w:lang w:val="fr-FR"/>
        </w:rPr>
      </w:pPr>
      <w:r w:rsidRPr="00542099">
        <w:rPr>
          <w:lang w:val="fr-FR"/>
        </w:rPr>
        <w:t>- Direction Générale : approuve la politique, fournit les ressources nécessaires et valide les résultats.</w:t>
      </w:r>
      <w:r w:rsidRPr="00542099">
        <w:rPr>
          <w:lang w:val="fr-FR"/>
        </w:rPr>
        <w:br/>
        <w:t>- Responsable QHSE : assure la veille réglementaire, met à jour le registre légal, réalise les évaluations.</w:t>
      </w:r>
      <w:r w:rsidRPr="00542099">
        <w:rPr>
          <w:lang w:val="fr-FR"/>
        </w:rPr>
        <w:br/>
        <w:t>- Managers Opérationnels : appliquent et contrôlent la conformité au niveau des opérations.</w:t>
      </w:r>
      <w:r w:rsidRPr="00542099">
        <w:rPr>
          <w:lang w:val="fr-FR"/>
        </w:rPr>
        <w:br/>
        <w:t>- Tous les employés : respectent les lois et signalent toute non-conformité.</w:t>
      </w:r>
    </w:p>
    <w:p w14:paraId="1AD06E1B" w14:textId="77777777" w:rsidR="005C612B" w:rsidRPr="00542099" w:rsidRDefault="00000000">
      <w:pPr>
        <w:pStyle w:val="Titre2"/>
        <w:rPr>
          <w:lang w:val="fr-FR"/>
        </w:rPr>
      </w:pPr>
      <w:r w:rsidRPr="00542099">
        <w:rPr>
          <w:lang w:val="fr-FR"/>
        </w:rPr>
        <w:t>5. Processus</w:t>
      </w:r>
    </w:p>
    <w:p w14:paraId="491CC82B" w14:textId="77777777" w:rsidR="005C612B" w:rsidRPr="00542099" w:rsidRDefault="00000000">
      <w:pPr>
        <w:rPr>
          <w:lang w:val="fr-FR"/>
        </w:rPr>
      </w:pPr>
      <w:r w:rsidRPr="00542099">
        <w:rPr>
          <w:lang w:val="fr-FR"/>
        </w:rPr>
        <w:t>5.1 Identification des exigences légales</w:t>
      </w:r>
      <w:r w:rsidRPr="00542099">
        <w:rPr>
          <w:lang w:val="fr-FR"/>
        </w:rPr>
        <w:br/>
        <w:t xml:space="preserve">1. </w:t>
      </w:r>
      <w:r w:rsidRPr="00542099">
        <w:rPr>
          <w:highlight w:val="yellow"/>
          <w:lang w:val="fr-FR"/>
        </w:rPr>
        <w:t>Veille réglementaire mensuelle (sources officielles, directives clients).</w:t>
      </w:r>
      <w:r w:rsidRPr="00542099">
        <w:rPr>
          <w:lang w:val="fr-FR"/>
        </w:rPr>
        <w:br/>
        <w:t xml:space="preserve">2. </w:t>
      </w:r>
      <w:r w:rsidRPr="00542099">
        <w:rPr>
          <w:highlight w:val="yellow"/>
          <w:lang w:val="fr-FR"/>
        </w:rPr>
        <w:t>Mise à jour d’un Registre des Exigences Légales SSO.</w:t>
      </w:r>
      <w:r w:rsidRPr="00542099">
        <w:rPr>
          <w:lang w:val="fr-FR"/>
        </w:rPr>
        <w:br/>
      </w:r>
      <w:r w:rsidRPr="00542099">
        <w:rPr>
          <w:lang w:val="fr-FR"/>
        </w:rPr>
        <w:br/>
        <w:t>5.2 Évaluation de la conformité</w:t>
      </w:r>
      <w:r w:rsidRPr="00542099">
        <w:rPr>
          <w:lang w:val="fr-FR"/>
        </w:rPr>
        <w:br/>
        <w:t>1. Audits internes semestriels.</w:t>
      </w:r>
      <w:r w:rsidRPr="00542099">
        <w:rPr>
          <w:lang w:val="fr-FR"/>
        </w:rPr>
        <w:br/>
        <w:t>2. Rapport d’Évaluation de Conformité.</w:t>
      </w:r>
      <w:r w:rsidRPr="00542099">
        <w:rPr>
          <w:lang w:val="fr-FR"/>
        </w:rPr>
        <w:br/>
      </w:r>
      <w:r w:rsidRPr="00542099">
        <w:rPr>
          <w:lang w:val="fr-FR"/>
        </w:rPr>
        <w:br/>
      </w:r>
      <w:r w:rsidRPr="00542099">
        <w:rPr>
          <w:lang w:val="fr-FR"/>
        </w:rPr>
        <w:lastRenderedPageBreak/>
        <w:t xml:space="preserve">5.3 </w:t>
      </w:r>
      <w:r w:rsidRPr="00542099">
        <w:rPr>
          <w:highlight w:val="yellow"/>
          <w:lang w:val="fr-FR"/>
        </w:rPr>
        <w:t>Actions correctives et suivi</w:t>
      </w:r>
      <w:r w:rsidRPr="00542099">
        <w:rPr>
          <w:lang w:val="fr-FR"/>
        </w:rPr>
        <w:br/>
        <w:t xml:space="preserve">1. </w:t>
      </w:r>
      <w:r w:rsidRPr="00542099">
        <w:rPr>
          <w:highlight w:val="yellow"/>
          <w:lang w:val="fr-FR"/>
        </w:rPr>
        <w:t>Élaboration d’un Plan d’Action Correctif.</w:t>
      </w:r>
      <w:r w:rsidRPr="00542099">
        <w:rPr>
          <w:lang w:val="fr-FR"/>
        </w:rPr>
        <w:br/>
        <w:t xml:space="preserve">2. </w:t>
      </w:r>
      <w:r w:rsidRPr="00542099">
        <w:rPr>
          <w:highlight w:val="yellow"/>
          <w:lang w:val="fr-FR"/>
        </w:rPr>
        <w:t>Suivi de mise en œuvre.</w:t>
      </w:r>
      <w:r w:rsidRPr="00542099">
        <w:rPr>
          <w:lang w:val="fr-FR"/>
        </w:rPr>
        <w:br/>
      </w:r>
      <w:r w:rsidRPr="00542099">
        <w:rPr>
          <w:lang w:val="fr-FR"/>
        </w:rPr>
        <w:br/>
        <w:t xml:space="preserve">5.4 </w:t>
      </w:r>
      <w:r w:rsidRPr="00542099">
        <w:rPr>
          <w:highlight w:val="yellow"/>
          <w:lang w:val="fr-FR"/>
        </w:rPr>
        <w:t>Mise à jour et révision</w:t>
      </w:r>
      <w:r w:rsidRPr="00542099">
        <w:rPr>
          <w:lang w:val="fr-FR"/>
        </w:rPr>
        <w:br/>
        <w:t>1. Revue annuelle ou après modification de lois.</w:t>
      </w:r>
      <w:r w:rsidRPr="00542099">
        <w:rPr>
          <w:lang w:val="fr-FR"/>
        </w:rPr>
        <w:br/>
        <w:t>2. Historique des révisions documenté.</w:t>
      </w:r>
    </w:p>
    <w:p w14:paraId="7037E299" w14:textId="77777777" w:rsidR="005C612B" w:rsidRPr="00542099" w:rsidRDefault="00000000">
      <w:pPr>
        <w:pStyle w:val="Titre2"/>
        <w:rPr>
          <w:lang w:val="fr-FR"/>
        </w:rPr>
      </w:pPr>
      <w:r w:rsidRPr="00542099">
        <w:rPr>
          <w:lang w:val="fr-FR"/>
        </w:rPr>
        <w:t>6. Documents et enregistrements associés</w:t>
      </w:r>
    </w:p>
    <w:p w14:paraId="2AFD04A4" w14:textId="77777777" w:rsidR="005C612B" w:rsidRPr="00542099" w:rsidRDefault="00000000">
      <w:pPr>
        <w:rPr>
          <w:lang w:val="fr-FR"/>
        </w:rPr>
      </w:pPr>
      <w:r w:rsidRPr="00542099">
        <w:rPr>
          <w:lang w:val="fr-FR"/>
        </w:rPr>
        <w:t>- Registre des exigences légales SSO</w:t>
      </w:r>
      <w:r w:rsidRPr="00542099">
        <w:rPr>
          <w:lang w:val="fr-FR"/>
        </w:rPr>
        <w:br/>
        <w:t>- Rapports d’audit interne</w:t>
      </w:r>
      <w:r w:rsidRPr="00542099">
        <w:rPr>
          <w:lang w:val="fr-FR"/>
        </w:rPr>
        <w:br/>
        <w:t>- Plans d’action correctifs</w:t>
      </w:r>
      <w:r w:rsidRPr="00542099">
        <w:rPr>
          <w:lang w:val="fr-FR"/>
        </w:rPr>
        <w:br/>
        <w:t>- Table des révisions</w:t>
      </w:r>
    </w:p>
    <w:p w14:paraId="47A7C133" w14:textId="77777777" w:rsidR="005C612B" w:rsidRPr="00542099" w:rsidRDefault="00000000">
      <w:pPr>
        <w:pStyle w:val="Titre2"/>
        <w:rPr>
          <w:lang w:val="fr-FR"/>
        </w:rPr>
      </w:pPr>
      <w:r w:rsidRPr="00542099">
        <w:rPr>
          <w:lang w:val="fr-FR"/>
        </w:rPr>
        <w:t>7. Contrôle du document</w:t>
      </w:r>
    </w:p>
    <w:p w14:paraId="09AB8F28" w14:textId="77777777" w:rsidR="005C612B" w:rsidRPr="00542099" w:rsidRDefault="00000000">
      <w:pPr>
        <w:rPr>
          <w:lang w:val="fr-FR"/>
        </w:rPr>
      </w:pPr>
      <w:r w:rsidRPr="00542099">
        <w:rPr>
          <w:lang w:val="fr-FR"/>
        </w:rPr>
        <w:t>Ce document est identifié par son numéro unique (SSO-PROC-001).</w:t>
      </w:r>
      <w:r w:rsidRPr="00542099">
        <w:rPr>
          <w:lang w:val="fr-FR"/>
        </w:rPr>
        <w:br/>
        <w:t>Toute copie non contrôlée est considérée comme non valide.</w:t>
      </w:r>
      <w:r w:rsidRPr="00542099">
        <w:rPr>
          <w:lang w:val="fr-FR"/>
        </w:rPr>
        <w:br/>
        <w:t>La dernière version approuvée est disponible dans le système documentaire de TELCOTEC.</w:t>
      </w:r>
    </w:p>
    <w:p w14:paraId="159FABE7" w14:textId="77777777" w:rsidR="005C612B" w:rsidRPr="00542099" w:rsidRDefault="00000000">
      <w:pPr>
        <w:pStyle w:val="Titre2"/>
        <w:rPr>
          <w:lang w:val="fr-FR"/>
        </w:rPr>
      </w:pPr>
      <w:r w:rsidRPr="00542099">
        <w:rPr>
          <w:lang w:val="fr-FR"/>
        </w:rPr>
        <w:t>8. Approbation</w:t>
      </w:r>
    </w:p>
    <w:p w14:paraId="29928381" w14:textId="77777777" w:rsidR="005C612B" w:rsidRPr="00542099" w:rsidRDefault="00000000">
      <w:pPr>
        <w:rPr>
          <w:lang w:val="fr-FR"/>
        </w:rPr>
      </w:pPr>
      <w:r w:rsidRPr="00542099">
        <w:rPr>
          <w:lang w:val="fr-FR"/>
        </w:rPr>
        <w:t>Fait à Tunis, le [date]</w:t>
      </w:r>
      <w:r w:rsidRPr="00542099">
        <w:rPr>
          <w:lang w:val="fr-FR"/>
        </w:rPr>
        <w:br/>
      </w:r>
      <w:r w:rsidRPr="00542099">
        <w:rPr>
          <w:lang w:val="fr-FR"/>
        </w:rPr>
        <w:br/>
        <w:t>Établi par : [Nom, Fonction, Signature]</w:t>
      </w:r>
      <w:r w:rsidRPr="00542099">
        <w:rPr>
          <w:lang w:val="fr-FR"/>
        </w:rPr>
        <w:br/>
      </w:r>
      <w:r w:rsidRPr="00542099">
        <w:rPr>
          <w:lang w:val="fr-FR"/>
        </w:rPr>
        <w:br/>
        <w:t>Approuvé par : [Nom, Fonction, Signature – Direction Générale]</w:t>
      </w:r>
      <w:r w:rsidRPr="00542099">
        <w:rPr>
          <w:lang w:val="fr-FR"/>
        </w:rPr>
        <w:br/>
      </w:r>
      <w:r w:rsidRPr="00542099">
        <w:rPr>
          <w:lang w:val="fr-FR"/>
        </w:rPr>
        <w:br/>
        <w:t>Cachet officiel de l’entreprise.</w:t>
      </w:r>
    </w:p>
    <w:sectPr w:rsidR="005C612B" w:rsidRPr="00542099" w:rsidSect="008E16E8">
      <w:headerReference w:type="default" r:id="rId8"/>
      <w:footerReference w:type="default" r:id="rId9"/>
      <w:pgSz w:w="12240" w:h="15840"/>
      <w:pgMar w:top="1440" w:right="1800" w:bottom="1440" w:left="180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7D5D" w14:textId="77777777" w:rsidR="00322D4A" w:rsidRDefault="00322D4A">
      <w:pPr>
        <w:spacing w:after="0" w:line="240" w:lineRule="auto"/>
      </w:pPr>
      <w:r>
        <w:separator/>
      </w:r>
    </w:p>
  </w:endnote>
  <w:endnote w:type="continuationSeparator" w:id="0">
    <w:p w14:paraId="514C5518" w14:textId="77777777" w:rsidR="00322D4A" w:rsidRDefault="0032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F9BA" w14:textId="3D836B02" w:rsidR="008E16E8" w:rsidRPr="008E16E8" w:rsidRDefault="008E16E8" w:rsidP="008E16E8">
    <w:pPr>
      <w:spacing w:line="240" w:lineRule="auto"/>
      <w:jc w:val="center"/>
      <w:rPr>
        <w:sz w:val="18"/>
        <w:szCs w:val="16"/>
      </w:rPr>
    </w:pPr>
    <w:r w:rsidRPr="008E16E8">
      <w:rPr>
        <w:sz w:val="18"/>
        <w:szCs w:val="16"/>
      </w:rPr>
      <w:t>Telcotec;</w:t>
    </w:r>
    <w:r w:rsidRPr="008E16E8">
      <w:rPr>
        <w:sz w:val="18"/>
        <w:szCs w:val="16"/>
      </w:rPr>
      <w:t xml:space="preserve"> </w:t>
    </w:r>
    <w:r w:rsidRPr="008E16E8">
      <w:rPr>
        <w:sz w:val="18"/>
        <w:szCs w:val="16"/>
      </w:rPr>
      <w:t>SARL;</w:t>
    </w:r>
    <w:r w:rsidRPr="008E16E8">
      <w:rPr>
        <w:sz w:val="18"/>
        <w:szCs w:val="16"/>
      </w:rPr>
      <w:t xml:space="preserve"> Bloc I2 A14 Elgazala Technopark, </w:t>
    </w:r>
    <w:r w:rsidRPr="008E16E8">
      <w:rPr>
        <w:sz w:val="18"/>
        <w:szCs w:val="16"/>
      </w:rPr>
      <w:t>Ariana -</w:t>
    </w:r>
    <w:r w:rsidRPr="008E16E8">
      <w:rPr>
        <w:sz w:val="18"/>
        <w:szCs w:val="16"/>
      </w:rPr>
      <w:t xml:space="preserve"> Tunisie</w:t>
    </w:r>
  </w:p>
  <w:p w14:paraId="53A375F4" w14:textId="7956B60B" w:rsidR="008E16E8" w:rsidRPr="008E16E8" w:rsidRDefault="008E16E8" w:rsidP="008E16E8">
    <w:pPr>
      <w:spacing w:line="240" w:lineRule="auto"/>
      <w:jc w:val="center"/>
      <w:rPr>
        <w:sz w:val="18"/>
        <w:szCs w:val="18"/>
      </w:rPr>
    </w:pPr>
    <w:r w:rsidRPr="008E16E8">
      <w:rPr>
        <w:sz w:val="18"/>
        <w:szCs w:val="16"/>
      </w:rPr>
      <w:t>MF:</w:t>
    </w:r>
    <w:r w:rsidRPr="008E16E8">
      <w:rPr>
        <w:sz w:val="18"/>
        <w:szCs w:val="16"/>
      </w:rPr>
      <w:t xml:space="preserve"> 1383621J/A/M/</w:t>
    </w:r>
    <w:r w:rsidRPr="008E16E8">
      <w:rPr>
        <w:sz w:val="18"/>
        <w:szCs w:val="16"/>
      </w:rPr>
      <w:t>000; RC:</w:t>
    </w:r>
    <w:r w:rsidRPr="008E16E8">
      <w:rPr>
        <w:sz w:val="18"/>
        <w:szCs w:val="16"/>
      </w:rPr>
      <w:t xml:space="preserve"> B0318942015; Tel/</w:t>
    </w:r>
    <w:r w:rsidRPr="008E16E8">
      <w:rPr>
        <w:sz w:val="18"/>
        <w:szCs w:val="16"/>
      </w:rPr>
      <w:t>Fax:</w:t>
    </w:r>
    <w:r w:rsidRPr="008E16E8">
      <w:rPr>
        <w:sz w:val="18"/>
        <w:szCs w:val="16"/>
      </w:rPr>
      <w:t xml:space="preserve"> (+216) 71 85 74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4C8A" w14:textId="77777777" w:rsidR="00322D4A" w:rsidRDefault="00322D4A">
      <w:pPr>
        <w:spacing w:after="0" w:line="240" w:lineRule="auto"/>
      </w:pPr>
      <w:r>
        <w:separator/>
      </w:r>
    </w:p>
  </w:footnote>
  <w:footnote w:type="continuationSeparator" w:id="0">
    <w:p w14:paraId="5687D3E6" w14:textId="77777777" w:rsidR="00322D4A" w:rsidRDefault="0032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EBD4" w14:textId="1A4DF224" w:rsidR="005C612B" w:rsidRPr="008E16E8" w:rsidRDefault="008E16E8" w:rsidP="008E16E8">
    <w:pPr>
      <w:pStyle w:val="En-tte"/>
    </w:pPr>
    <w:r>
      <w:rPr>
        <w:noProof/>
      </w:rPr>
      <w:drawing>
        <wp:anchor distT="0" distB="0" distL="114300" distR="114300" simplePos="0" relativeHeight="251661312" behindDoc="0" locked="0" layoutInCell="1" allowOverlap="1" wp14:anchorId="3B4F143D" wp14:editId="4A7073D1">
          <wp:simplePos x="0" y="0"/>
          <wp:positionH relativeFrom="column">
            <wp:posOffset>-844955</wp:posOffset>
          </wp:positionH>
          <wp:positionV relativeFrom="paragraph">
            <wp:posOffset>-220980</wp:posOffset>
          </wp:positionV>
          <wp:extent cx="845820" cy="518055"/>
          <wp:effectExtent l="0" t="0" r="0" b="0"/>
          <wp:wrapThrough wrapText="bothSides">
            <wp:wrapPolygon edited="0">
              <wp:start x="0" y="0"/>
              <wp:lineTo x="0" y="20672"/>
              <wp:lineTo x="20919" y="20672"/>
              <wp:lineTo x="20919" y="0"/>
              <wp:lineTo x="0" y="0"/>
            </wp:wrapPolygon>
          </wp:wrapThrough>
          <wp:docPr id="1651792974" name="Image 1651792974" descr="Une image contenant Police, logo,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eu électriqu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5180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431773427">
    <w:abstractNumId w:val="8"/>
  </w:num>
  <w:num w:numId="2" w16cid:durableId="1856378399">
    <w:abstractNumId w:val="6"/>
  </w:num>
  <w:num w:numId="3" w16cid:durableId="506554191">
    <w:abstractNumId w:val="5"/>
  </w:num>
  <w:num w:numId="4" w16cid:durableId="283847131">
    <w:abstractNumId w:val="4"/>
  </w:num>
  <w:num w:numId="5" w16cid:durableId="1810592119">
    <w:abstractNumId w:val="7"/>
  </w:num>
  <w:num w:numId="6" w16cid:durableId="1084960730">
    <w:abstractNumId w:val="3"/>
  </w:num>
  <w:num w:numId="7" w16cid:durableId="1621305567">
    <w:abstractNumId w:val="2"/>
  </w:num>
  <w:num w:numId="8" w16cid:durableId="1381831025">
    <w:abstractNumId w:val="1"/>
  </w:num>
  <w:num w:numId="9" w16cid:durableId="45973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2D4A"/>
    <w:rsid w:val="00326F90"/>
    <w:rsid w:val="00542099"/>
    <w:rsid w:val="005C612B"/>
    <w:rsid w:val="008E16E8"/>
    <w:rsid w:val="00AA1D8D"/>
    <w:rsid w:val="00B47730"/>
    <w:rsid w:val="00CB0664"/>
    <w:rsid w:val="00DA46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1D0FE"/>
  <w14:defaultImageDpi w14:val="300"/>
  <w15:docId w15:val="{92676F68-25DC-4D46-A4E1-99982282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365</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Ala</cp:lastModifiedBy>
  <cp:revision>3</cp:revision>
  <dcterms:created xsi:type="dcterms:W3CDTF">2013-12-23T23:15:00Z</dcterms:created>
  <dcterms:modified xsi:type="dcterms:W3CDTF">2025-08-20T09:57:00Z</dcterms:modified>
  <cp:category/>
</cp:coreProperties>
</file>